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rPr>
          <w:rFonts w:hint="eastAsia" w:ascii="宋体" w:hAnsi="宋体" w:eastAsia="宋体" w:cs="宋体"/>
          <w:sz w:val="24"/>
          <w:szCs w:val="24"/>
        </w:rPr>
      </w:pPr>
      <w:bookmarkStart w:id="0" w:name="_GoBack"/>
      <w:r>
        <w:rPr>
          <w:rFonts w:hint="eastAsia" w:ascii="宋体" w:hAnsi="宋体" w:eastAsia="宋体" w:cs="宋体"/>
          <w:b/>
          <w:sz w:val="24"/>
          <w:szCs w:val="24"/>
        </w:rPr>
        <w:t>附件</w:t>
      </w:r>
    </w:p>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b/>
          <w:sz w:val="24"/>
          <w:szCs w:val="24"/>
        </w:rPr>
        <w:t>境外林草引种检疫审批风险评估管理规范</w:t>
      </w:r>
    </w:p>
    <w:bookmarkEnd w:id="0"/>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为贯彻落实国务院行政审批改革要求，全面规范境外引进林草种子、苗木（以下简称“林草引种”）检疫审批风险评估工作，提高检疫审批风险评估的科学性和统一性，有效防范外来有害生物入侵，保障国土生态安全、经济贸易安全，特制定本规范。</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一、总则</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本规范所称林草种子、苗木，是指林木和草的种植材料或者繁殖材料，包括苗、花、根、茎、叶、芽、籽粒、果实等。</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本规范规定了林草引种检疫审批的风险评估程序和方法，适用于引进境外林草种子、苗木检疫审批风险程度的确定，不适用于科研、展览引进，以及政府、团体、科研、教学部门交流、交换引进等情形，也不适用于引进转基因类、带土类林草种子、苗木风险程度的确定。</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二、评估程序和方法</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基本要求。境外林草引种检疫审批风险评估（以下简称“风险评估”）的承担单位（承担单位应具备的条件见附1），应当根据风险评估对象，选择3名以上专家独立进行风险评估。承担单位可根据需要，聘请外单位专家承担风险评估工作。承担单位应当形成风险评估报告，并对风险评估报告的真实性、准确性、科学性和可操作性负责。</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实施风险评估的专家（以下简称“风险评估专家”）在开展风险评估时，应当依次开展预评估、风险评估、结果评定、建议提出和风险评估技术报告编写工作。</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（二）预评估。风险评估专家应当广泛收集相关资料、数据等信息，分析确定评估对象是否符合风险评估条件。出现以下情形的，应当停止风险评估。</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1.现有信息不足以支撑评估的，可停止风险评估，但需向委托风险评估的林草引种检疫审批机构（以下简称“审批机构”）反馈情况，由审批机构通知申请人，补充相关材料；若申请人能够补充相关材料并达到评估要求，在申请人提交补充材料后应当再按程序开展评估；若申请人不能够提供足以支撑评估的材料，可停止风险评估或者向审批机构提出实施国外引种地检疫评审等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2.经风险评估专家评估，拟引进种类为国际重大有害植物，或者可携带国际重大有害生物的，风险评估专家可停止风险评估，直接提出禁止引进的建议，并详细说明有关理由和依据；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3.评估过程中发现存在拟引进种类不属于国家规定的林草引种检疫范围的、国家禁止引进的种类，以及已开展过风险评估且经风险评估专家审查有效等情形的；</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4.其他需停止风险评估的情形。</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风险评估。针对某一种（类）引进的林草种子、苗木，采用定性方法分析评估对象，识别风险源，提出风险评估指标；采取定量方法量化各评估指标，并运用层次分析法，构建境外林草引种检疫风险评估指标体系，建立林草引种风险评估模型和综合评定方法，计算综合风险评估值（R），经评定后得出风险评估结果。境外林草引种风险评估指标体系及说明见附2。</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（四）结果评定。</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按照附2计算出拟引种林草的风险评估值（R）。根据R值将风险评估结果划分为4个风险等级，即特别危险、高度危险、中度危险、低度危险。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宋体" w:hAnsi="宋体" w:eastAsia="宋体" w:cs="宋体"/>
          <w:b w:val="0"/>
          <w:i w:val="0"/>
          <w:caps w:val="0"/>
          <w:color w:val="565656"/>
          <w:spacing w:val="0"/>
          <w:sz w:val="24"/>
          <w:szCs w:val="24"/>
        </w:rPr>
      </w:pPr>
      <w:r>
        <w:rPr>
          <w:rStyle w:val="5"/>
          <w:rFonts w:hint="eastAsia" w:ascii="宋体" w:hAnsi="宋体" w:eastAsia="宋体" w:cs="宋体"/>
          <w:i w:val="0"/>
          <w:caps w:val="0"/>
          <w:color w:val="565656"/>
          <w:spacing w:val="0"/>
          <w:sz w:val="28"/>
          <w:szCs w:val="28"/>
          <w:bdr w:val="none" w:color="auto" w:sz="0" w:space="0"/>
          <w:shd w:val="clear" w:fill="FFFFFF"/>
        </w:rPr>
        <w:t>林草引种风险等级划分表</w:t>
      </w:r>
    </w:p>
    <w:tbl>
      <w:tblPr>
        <w:tblW w:w="8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695"/>
        <w:gridCol w:w="3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695" w:type="dxa"/>
            <w:tcBorders>
              <w:top w:val="single" w:color="auto" w:sz="6" w:space="0"/>
              <w:left w:val="nil"/>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宋体" w:hAnsi="宋体" w:eastAsia="宋体" w:cs="宋体"/>
              </w:rPr>
            </w:pPr>
            <w:r>
              <w:rPr>
                <w:rStyle w:val="5"/>
                <w:rFonts w:hint="eastAsia" w:ascii="宋体" w:hAnsi="宋体" w:eastAsia="宋体" w:cs="宋体"/>
                <w:i w:val="0"/>
                <w:caps w:val="0"/>
                <w:color w:val="565656"/>
                <w:spacing w:val="0"/>
                <w:sz w:val="24"/>
                <w:szCs w:val="24"/>
                <w:bdr w:val="none" w:color="auto" w:sz="0" w:space="0"/>
              </w:rPr>
              <w:t>林草引种风险评估值（R）</w:t>
            </w:r>
          </w:p>
        </w:tc>
        <w:tc>
          <w:tcPr>
            <w:tcW w:w="3585" w:type="dxa"/>
            <w:tcBorders>
              <w:top w:val="single" w:color="auto" w:sz="6" w:space="0"/>
              <w:left w:val="nil"/>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宋体" w:hAnsi="宋体" w:eastAsia="宋体" w:cs="宋体"/>
              </w:rPr>
            </w:pPr>
            <w:r>
              <w:rPr>
                <w:rStyle w:val="5"/>
                <w:rFonts w:hint="eastAsia" w:ascii="宋体" w:hAnsi="宋体" w:eastAsia="宋体" w:cs="宋体"/>
                <w:i w:val="0"/>
                <w:caps w:val="0"/>
                <w:color w:val="565656"/>
                <w:spacing w:val="0"/>
                <w:sz w:val="24"/>
                <w:szCs w:val="24"/>
                <w:bdr w:val="none" w:color="auto" w:sz="0" w:space="0"/>
              </w:rPr>
              <w:t>风险等级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9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2.5≤R≤3.0</w:t>
            </w:r>
          </w:p>
        </w:tc>
        <w:tc>
          <w:tcPr>
            <w:tcW w:w="358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特别危险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9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2.20≤R＜2.5</w:t>
            </w:r>
          </w:p>
        </w:tc>
        <w:tc>
          <w:tcPr>
            <w:tcW w:w="358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高度危险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9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1.0≤R＜2.20</w:t>
            </w:r>
          </w:p>
        </w:tc>
        <w:tc>
          <w:tcPr>
            <w:tcW w:w="358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中度危险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95" w:type="dxa"/>
            <w:tcBorders>
              <w:top w:val="nil"/>
              <w:left w:val="nil"/>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0≤R＜1.0</w:t>
            </w:r>
          </w:p>
        </w:tc>
        <w:tc>
          <w:tcPr>
            <w:tcW w:w="3585" w:type="dxa"/>
            <w:tcBorders>
              <w:top w:val="nil"/>
              <w:left w:val="nil"/>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低度危险</w:t>
            </w:r>
          </w:p>
        </w:tc>
      </w:tr>
    </w:tbl>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（五）建议提出。风险评估专家应当根据风险评估结果得出的风险等级，提出境外林草种子、苗木的引进建议和相关管理建议。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1.特别危险。建议禁止引进。</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2.高度危险。建议原则上不允许引进。若拟引进种类为生产上确需引进的，可向审批机构提出以下2种以上的管理措施建议。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——国外引种地检疫评审措施；</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——少量引进（一般为10株或者相当于10株以内的数量）；</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——实施不分散种植的隔离种植措施；</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——林业植物检疫机构实施监管的措施，以及引进后一旦发生疫情的除治和根除措施；</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——林业和草原主管部门实施全程监管的措施；</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——其他建议。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3.中度危险。建议引进。可向审批机构提出以下2种以上的管理措施建议。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——实施全部隔离试种措施；</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——按照国家规定的隔离试种期限进行隔离试种，或者提出延长隔离试种的建议；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——林业植物检疫机构实施监管的措施，以及引进后一旦发生疫情的除治和根除措施；</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——其他建议。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4.低度危险。建议引进。可向审批机构提出以下2种以上的管理措施建议。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——按照国家规定的隔离试种期限进行隔离试种，或者提出延长隔离试种的建议；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——林业植物检疫机构实施监管的措施，以及引进后一旦发生疫情的除治和根除措施；</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——其他建议。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（六）风险评估技术报告编写。风险评估专家在完成上述评估工作后，需编写风险评估技术报告。</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三、评估结果处理</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风险评估的承担单位在收到风险评估专家提交的风险评估技术报告后，应当对每个专家的风险评估技术报告进行综合分析研判，形成承担单位的最终风险评估报告，报委托开展风险评估的审批机构。风险评估报告内容应当包括摘要、基本情况介绍、预评估、风险评估、结论和参考文献等部分。风险评估报告格式参见附3。</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四、附则</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本规范自2020年1月1日起施行。</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附1</w:t>
      </w:r>
    </w:p>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b/>
          <w:sz w:val="24"/>
          <w:szCs w:val="24"/>
        </w:rPr>
        <w:t>境外林草引种风险评估承担单位应当具备的条件</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境外林草引种风险评估承担单位应当具备以下条件：</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一、境外林草引种风险评估承担单位应当为专门从事森林保护或者植物保护研究、教学等工作的单位。</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二、境外林草引种风险评估承担单位应当具有5名以上从事森林昆虫学、森林病理学、植物学等研究（教学）方面的研究员（教授），并建立境外林草引种风险评估专家库，专家库成员可聘请外单位专家。</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三、境外林草引种风险评估承担单位应当配备有1—2名负责开展风险评估事宜的工作人员。</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附2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565656"/>
          <w:spacing w:val="0"/>
          <w:sz w:val="24"/>
          <w:szCs w:val="24"/>
        </w:rPr>
      </w:pPr>
      <w:r>
        <w:rPr>
          <w:rStyle w:val="5"/>
          <w:rFonts w:hint="eastAsia" w:ascii="宋体" w:hAnsi="宋体" w:eastAsia="宋体" w:cs="宋体"/>
          <w:i w:val="0"/>
          <w:caps w:val="0"/>
          <w:color w:val="565656"/>
          <w:spacing w:val="0"/>
          <w:sz w:val="24"/>
          <w:szCs w:val="24"/>
          <w:bdr w:val="none" w:color="auto" w:sz="0" w:space="0"/>
          <w:shd w:val="clear" w:fill="FFFFFF"/>
        </w:rPr>
        <w:t>境外林草引种风险评估指标体系及说明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宋体" w:hAnsi="宋体" w:eastAsia="宋体" w:cs="宋体"/>
          <w:b w:val="0"/>
          <w:i w:val="0"/>
          <w:caps w:val="0"/>
          <w:color w:val="565656"/>
          <w:spacing w:val="0"/>
          <w:sz w:val="24"/>
          <w:szCs w:val="24"/>
        </w:rPr>
      </w:pPr>
      <w:r>
        <w:rPr>
          <w:rFonts w:hint="eastAsia" w:ascii="宋体" w:hAnsi="宋体" w:eastAsia="宋体" w:cs="宋体"/>
          <w:b w:val="0"/>
          <w:i w:val="0"/>
          <w:caps w:val="0"/>
          <w:color w:val="56565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宋体" w:hAnsi="宋体" w:eastAsia="宋体" w:cs="宋体"/>
          <w:i w:val="0"/>
          <w:caps w:val="0"/>
          <w:color w:val="565656"/>
          <w:spacing w:val="0"/>
          <w:sz w:val="24"/>
          <w:szCs w:val="24"/>
        </w:rPr>
      </w:pPr>
      <w:r>
        <w:rPr>
          <w:rFonts w:hint="eastAsia" w:ascii="宋体" w:hAnsi="宋体" w:eastAsia="宋体" w:cs="宋体"/>
          <w:b w:val="0"/>
          <w:i w:val="0"/>
          <w:caps w:val="0"/>
          <w:color w:val="565656"/>
          <w:spacing w:val="0"/>
          <w:sz w:val="24"/>
          <w:szCs w:val="24"/>
          <w:bdr w:val="none" w:color="auto" w:sz="0" w:space="0"/>
          <w:shd w:val="clear" w:fill="FFFFFF"/>
        </w:rPr>
        <w:t>　　</w:t>
      </w:r>
      <w:r>
        <w:rPr>
          <w:rFonts w:hint="eastAsia" w:ascii="宋体" w:hAnsi="宋体" w:eastAsia="宋体" w:cs="宋体"/>
          <w:b/>
          <w:i w:val="0"/>
          <w:caps w:val="0"/>
          <w:color w:val="565656"/>
          <w:spacing w:val="0"/>
          <w:sz w:val="24"/>
          <w:szCs w:val="24"/>
          <w:bdr w:val="none" w:color="auto" w:sz="0" w:space="0"/>
          <w:shd w:val="clear" w:fill="FFFFFF"/>
        </w:rPr>
        <w:t>一、境外林草引种风险评估指标体系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宋体" w:hAnsi="宋体" w:eastAsia="宋体" w:cs="宋体"/>
          <w:b w:val="0"/>
          <w:i w:val="0"/>
          <w:caps w:val="0"/>
          <w:color w:val="56565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b w:val="0"/>
          <w:i w:val="0"/>
          <w:caps w:val="0"/>
          <w:color w:val="565656"/>
          <w:spacing w:val="0"/>
          <w:sz w:val="24"/>
          <w:szCs w:val="24"/>
        </w:rPr>
      </w:pPr>
      <w:r>
        <w:rPr>
          <w:rFonts w:ascii="方正仿宋_GBK" w:hAnsi="方正仿宋_GBK" w:eastAsia="方正仿宋_GBK" w:cs="方正仿宋_GBK"/>
          <w:b w:val="0"/>
          <w:i w:val="0"/>
          <w:caps w:val="0"/>
          <w:color w:val="565656"/>
          <w:spacing w:val="0"/>
          <w:sz w:val="30"/>
          <w:szCs w:val="30"/>
          <w:bdr w:val="none" w:color="auto" w:sz="0" w:space="0"/>
          <w:shd w:val="clear" w:fill="FFFFFF"/>
        </w:rPr>
        <w:t>表1　境外林草引种风险评估指标体系表</w:t>
      </w:r>
    </w:p>
    <w:tbl>
      <w:tblPr>
        <w:tblW w:w="10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25"/>
        <w:gridCol w:w="1017"/>
        <w:gridCol w:w="2438"/>
        <w:gridCol w:w="1701"/>
        <w:gridCol w:w="752"/>
        <w:gridCol w:w="814"/>
        <w:gridCol w:w="759"/>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180" w:hRule="atLeast"/>
          <w:jc w:val="center"/>
        </w:trPr>
        <w:tc>
          <w:tcPr>
            <w:tcW w:w="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Style w:val="5"/>
                <w:rFonts w:hint="eastAsia" w:ascii="宋体" w:hAnsi="宋体" w:eastAsia="宋体" w:cs="宋体"/>
                <w:i w:val="0"/>
                <w:caps w:val="0"/>
                <w:color w:val="565656"/>
                <w:spacing w:val="0"/>
                <w:sz w:val="24"/>
                <w:szCs w:val="24"/>
                <w:bdr w:val="none" w:color="auto" w:sz="0" w:space="0"/>
              </w:rPr>
              <w:t>目标层</w:t>
            </w:r>
          </w:p>
        </w:tc>
        <w:tc>
          <w:tcPr>
            <w:tcW w:w="1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Style w:val="5"/>
                <w:rFonts w:hint="eastAsia" w:ascii="宋体" w:hAnsi="宋体" w:eastAsia="宋体" w:cs="宋体"/>
                <w:i w:val="0"/>
                <w:caps w:val="0"/>
                <w:color w:val="565656"/>
                <w:spacing w:val="0"/>
                <w:sz w:val="24"/>
                <w:szCs w:val="24"/>
                <w:bdr w:val="none" w:color="auto" w:sz="0" w:space="0"/>
              </w:rPr>
              <w:t>准则层</w:t>
            </w:r>
          </w:p>
        </w:tc>
        <w:tc>
          <w:tcPr>
            <w:tcW w:w="46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Style w:val="5"/>
                <w:rFonts w:hint="eastAsia" w:ascii="宋体" w:hAnsi="宋体" w:eastAsia="宋体" w:cs="宋体"/>
                <w:i w:val="0"/>
                <w:caps w:val="0"/>
                <w:color w:val="565656"/>
                <w:spacing w:val="0"/>
                <w:sz w:val="24"/>
                <w:szCs w:val="24"/>
                <w:bdr w:val="none" w:color="auto" w:sz="0" w:space="0"/>
              </w:rPr>
              <w:t>指标层</w:t>
            </w:r>
          </w:p>
        </w:tc>
        <w:tc>
          <w:tcPr>
            <w:tcW w:w="555"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Style w:val="5"/>
                <w:rFonts w:hint="eastAsia" w:ascii="宋体" w:hAnsi="宋体" w:eastAsia="宋体" w:cs="宋体"/>
                <w:i w:val="0"/>
                <w:caps w:val="0"/>
                <w:color w:val="565656"/>
                <w:spacing w:val="0"/>
                <w:sz w:val="24"/>
                <w:szCs w:val="24"/>
                <w:bdr w:val="none" w:color="auto" w:sz="0" w:space="0"/>
              </w:rPr>
              <w:t>子指标层</w:t>
            </w:r>
          </w:p>
        </w:tc>
        <w:tc>
          <w:tcPr>
            <w:tcW w:w="1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Style w:val="5"/>
                <w:rFonts w:hint="eastAsia" w:ascii="宋体" w:hAnsi="宋体" w:eastAsia="宋体" w:cs="宋体"/>
                <w:i w:val="0"/>
                <w:caps w:val="0"/>
                <w:color w:val="565656"/>
                <w:spacing w:val="0"/>
                <w:sz w:val="24"/>
                <w:szCs w:val="24"/>
                <w:bdr w:val="none" w:color="auto" w:sz="0" w:space="0"/>
              </w:rPr>
              <w:t>赋分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Style w:val="5"/>
                <w:rFonts w:hint="eastAsia" w:ascii="宋体" w:hAnsi="宋体" w:eastAsia="宋体" w:cs="宋体"/>
                <w:i w:val="0"/>
                <w:caps w:val="0"/>
                <w:color w:val="565656"/>
                <w:spacing w:val="0"/>
                <w:sz w:val="24"/>
                <w:szCs w:val="24"/>
                <w:bdr w:val="none" w:color="auto" w:sz="0" w:space="0"/>
              </w:rPr>
              <w:t>区间</w:t>
            </w:r>
          </w:p>
        </w:tc>
        <w:tc>
          <w:tcPr>
            <w:tcW w:w="23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Style w:val="5"/>
                <w:rFonts w:hint="eastAsia" w:ascii="宋体" w:hAnsi="宋体" w:eastAsia="宋体" w:cs="宋体"/>
                <w:i w:val="0"/>
                <w:caps w:val="0"/>
                <w:color w:val="565656"/>
                <w:spacing w:val="0"/>
                <w:sz w:val="24"/>
                <w:szCs w:val="24"/>
                <w:bdr w:val="none" w:color="auto" w:sz="0" w:space="0"/>
              </w:rPr>
              <w:t>赋分方式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林草引种风险（R）</w:t>
            </w:r>
          </w:p>
        </w:tc>
        <w:tc>
          <w:tcPr>
            <w:tcW w:w="1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拟引进种类成为有害植物风险（P</w:t>
            </w:r>
            <w:r>
              <w:rPr>
                <w:rFonts w:hint="eastAsia" w:ascii="宋体" w:hAnsi="宋体" w:eastAsia="宋体" w:cs="宋体"/>
                <w:b w:val="0"/>
                <w:i w:val="0"/>
                <w:caps w:val="0"/>
                <w:color w:val="565656"/>
                <w:spacing w:val="0"/>
                <w:sz w:val="24"/>
                <w:szCs w:val="24"/>
                <w:bdr w:val="none" w:color="auto" w:sz="0" w:space="0"/>
                <w:vertAlign w:val="baseline"/>
              </w:rPr>
              <w:t>1</w:t>
            </w:r>
            <w:r>
              <w:rPr>
                <w:rFonts w:hint="eastAsia" w:ascii="宋体" w:hAnsi="宋体" w:eastAsia="宋体" w:cs="宋体"/>
                <w:b w:val="0"/>
                <w:i w:val="0"/>
                <w:caps w:val="0"/>
                <w:color w:val="565656"/>
                <w:spacing w:val="0"/>
                <w:sz w:val="24"/>
                <w:szCs w:val="24"/>
                <w:bdr w:val="none" w:color="auto" w:sz="0" w:space="0"/>
              </w:rPr>
              <w:t>）</w:t>
            </w:r>
          </w:p>
        </w:tc>
        <w:tc>
          <w:tcPr>
            <w:tcW w:w="4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适生能力（P</w:t>
            </w:r>
            <w:r>
              <w:rPr>
                <w:rFonts w:hint="eastAsia" w:ascii="宋体" w:hAnsi="宋体" w:eastAsia="宋体" w:cs="宋体"/>
                <w:b w:val="0"/>
                <w:i w:val="0"/>
                <w:caps w:val="0"/>
                <w:color w:val="565656"/>
                <w:spacing w:val="0"/>
                <w:sz w:val="24"/>
                <w:szCs w:val="24"/>
                <w:bdr w:val="none" w:color="auto" w:sz="0" w:space="0"/>
                <w:vertAlign w:val="baseline"/>
              </w:rPr>
              <w:t>11</w:t>
            </w:r>
            <w:r>
              <w:rPr>
                <w:rFonts w:hint="eastAsia" w:ascii="宋体" w:hAnsi="宋体" w:eastAsia="宋体" w:cs="宋体"/>
                <w:b w:val="0"/>
                <w:i w:val="0"/>
                <w:caps w:val="0"/>
                <w:color w:val="565656"/>
                <w:spacing w:val="0"/>
                <w:sz w:val="24"/>
                <w:szCs w:val="24"/>
                <w:bdr w:val="none" w:color="auto" w:sz="0" w:space="0"/>
              </w:rPr>
              <w:t>）</w:t>
            </w: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高（P</w:t>
            </w:r>
            <w:r>
              <w:rPr>
                <w:rFonts w:hint="eastAsia" w:ascii="宋体" w:hAnsi="宋体" w:eastAsia="宋体" w:cs="宋体"/>
                <w:b w:val="0"/>
                <w:i w:val="0"/>
                <w:caps w:val="0"/>
                <w:color w:val="565656"/>
                <w:spacing w:val="0"/>
                <w:sz w:val="24"/>
                <w:szCs w:val="24"/>
                <w:bdr w:val="none" w:color="auto" w:sz="0" w:space="0"/>
                <w:vertAlign w:val="baseline"/>
              </w:rPr>
              <w:t>111</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289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赋值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中（P</w:t>
            </w:r>
            <w:r>
              <w:rPr>
                <w:rFonts w:hint="eastAsia" w:ascii="宋体" w:hAnsi="宋体" w:eastAsia="宋体" w:cs="宋体"/>
                <w:b w:val="0"/>
                <w:i w:val="0"/>
                <w:caps w:val="0"/>
                <w:color w:val="565656"/>
                <w:spacing w:val="0"/>
                <w:sz w:val="24"/>
                <w:szCs w:val="24"/>
                <w:bdr w:val="none" w:color="auto" w:sz="0" w:space="0"/>
                <w:vertAlign w:val="baseline"/>
              </w:rPr>
              <w:t>112</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1-2</w:t>
            </w:r>
          </w:p>
        </w:tc>
        <w:tc>
          <w:tcPr>
            <w:tcW w:w="28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低（P</w:t>
            </w:r>
            <w:r>
              <w:rPr>
                <w:rFonts w:hint="eastAsia" w:ascii="宋体" w:hAnsi="宋体" w:eastAsia="宋体" w:cs="宋体"/>
                <w:b w:val="0"/>
                <w:i w:val="0"/>
                <w:caps w:val="0"/>
                <w:color w:val="565656"/>
                <w:spacing w:val="0"/>
                <w:sz w:val="24"/>
                <w:szCs w:val="24"/>
                <w:bdr w:val="none" w:color="auto" w:sz="0" w:space="0"/>
                <w:vertAlign w:val="baseline"/>
              </w:rPr>
              <w:t>113</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0-1</w:t>
            </w:r>
          </w:p>
        </w:tc>
        <w:tc>
          <w:tcPr>
            <w:tcW w:w="28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繁殖能力（P</w:t>
            </w:r>
            <w:r>
              <w:rPr>
                <w:rFonts w:hint="eastAsia" w:ascii="宋体" w:hAnsi="宋体" w:eastAsia="宋体" w:cs="宋体"/>
                <w:b w:val="0"/>
                <w:i w:val="0"/>
                <w:caps w:val="0"/>
                <w:color w:val="565656"/>
                <w:spacing w:val="0"/>
                <w:sz w:val="24"/>
                <w:szCs w:val="24"/>
                <w:bdr w:val="none" w:color="auto" w:sz="0" w:space="0"/>
                <w:vertAlign w:val="baseline"/>
              </w:rPr>
              <w:t>12</w:t>
            </w:r>
            <w:r>
              <w:rPr>
                <w:rFonts w:hint="eastAsia" w:ascii="宋体" w:hAnsi="宋体" w:eastAsia="宋体" w:cs="宋体"/>
                <w:b w:val="0"/>
                <w:i w:val="0"/>
                <w:caps w:val="0"/>
                <w:color w:val="565656"/>
                <w:spacing w:val="0"/>
                <w:sz w:val="24"/>
                <w:szCs w:val="24"/>
                <w:bdr w:val="none" w:color="auto" w:sz="0" w:space="0"/>
              </w:rPr>
              <w:t>）</w:t>
            </w: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高（P</w:t>
            </w:r>
            <w:r>
              <w:rPr>
                <w:rFonts w:hint="eastAsia" w:ascii="宋体" w:hAnsi="宋体" w:eastAsia="宋体" w:cs="宋体"/>
                <w:b w:val="0"/>
                <w:i w:val="0"/>
                <w:caps w:val="0"/>
                <w:color w:val="565656"/>
                <w:spacing w:val="0"/>
                <w:sz w:val="24"/>
                <w:szCs w:val="24"/>
                <w:bdr w:val="none" w:color="auto" w:sz="0" w:space="0"/>
                <w:vertAlign w:val="baseline"/>
              </w:rPr>
              <w:t>121</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28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中（P</w:t>
            </w:r>
            <w:r>
              <w:rPr>
                <w:rFonts w:hint="eastAsia" w:ascii="宋体" w:hAnsi="宋体" w:eastAsia="宋体" w:cs="宋体"/>
                <w:b w:val="0"/>
                <w:i w:val="0"/>
                <w:caps w:val="0"/>
                <w:color w:val="565656"/>
                <w:spacing w:val="0"/>
                <w:sz w:val="24"/>
                <w:szCs w:val="24"/>
                <w:bdr w:val="none" w:color="auto" w:sz="0" w:space="0"/>
                <w:vertAlign w:val="baseline"/>
              </w:rPr>
              <w:t>122</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1-2</w:t>
            </w:r>
          </w:p>
        </w:tc>
        <w:tc>
          <w:tcPr>
            <w:tcW w:w="28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低（P</w:t>
            </w:r>
            <w:r>
              <w:rPr>
                <w:rFonts w:hint="eastAsia" w:ascii="宋体" w:hAnsi="宋体" w:eastAsia="宋体" w:cs="宋体"/>
                <w:b w:val="0"/>
                <w:i w:val="0"/>
                <w:caps w:val="0"/>
                <w:color w:val="565656"/>
                <w:spacing w:val="0"/>
                <w:sz w:val="24"/>
                <w:szCs w:val="24"/>
                <w:bdr w:val="none" w:color="auto" w:sz="0" w:space="0"/>
                <w:vertAlign w:val="baseline"/>
              </w:rPr>
              <w:t>123</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0-1</w:t>
            </w:r>
          </w:p>
        </w:tc>
        <w:tc>
          <w:tcPr>
            <w:tcW w:w="28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扩散能力（P</w:t>
            </w:r>
            <w:r>
              <w:rPr>
                <w:rFonts w:hint="eastAsia" w:ascii="宋体" w:hAnsi="宋体" w:eastAsia="宋体" w:cs="宋体"/>
                <w:b w:val="0"/>
                <w:i w:val="0"/>
                <w:caps w:val="0"/>
                <w:color w:val="565656"/>
                <w:spacing w:val="0"/>
                <w:sz w:val="24"/>
                <w:szCs w:val="24"/>
                <w:bdr w:val="none" w:color="auto" w:sz="0" w:space="0"/>
                <w:vertAlign w:val="baseline"/>
              </w:rPr>
              <w:t>13</w:t>
            </w:r>
            <w:r>
              <w:rPr>
                <w:rFonts w:hint="eastAsia" w:ascii="宋体" w:hAnsi="宋体" w:eastAsia="宋体" w:cs="宋体"/>
                <w:b w:val="0"/>
                <w:i w:val="0"/>
                <w:caps w:val="0"/>
                <w:color w:val="565656"/>
                <w:spacing w:val="0"/>
                <w:sz w:val="24"/>
                <w:szCs w:val="24"/>
                <w:bdr w:val="none" w:color="auto" w:sz="0" w:space="0"/>
              </w:rPr>
              <w:t>）</w:t>
            </w: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高（P</w:t>
            </w:r>
            <w:r>
              <w:rPr>
                <w:rFonts w:hint="eastAsia" w:ascii="宋体" w:hAnsi="宋体" w:eastAsia="宋体" w:cs="宋体"/>
                <w:b w:val="0"/>
                <w:i w:val="0"/>
                <w:caps w:val="0"/>
                <w:color w:val="565656"/>
                <w:spacing w:val="0"/>
                <w:sz w:val="24"/>
                <w:szCs w:val="24"/>
                <w:bdr w:val="none" w:color="auto" w:sz="0" w:space="0"/>
                <w:vertAlign w:val="baseline"/>
              </w:rPr>
              <w:t>131</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28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中（P</w:t>
            </w:r>
            <w:r>
              <w:rPr>
                <w:rFonts w:hint="eastAsia" w:ascii="宋体" w:hAnsi="宋体" w:eastAsia="宋体" w:cs="宋体"/>
                <w:b w:val="0"/>
                <w:i w:val="0"/>
                <w:caps w:val="0"/>
                <w:color w:val="565656"/>
                <w:spacing w:val="0"/>
                <w:sz w:val="24"/>
                <w:szCs w:val="24"/>
                <w:bdr w:val="none" w:color="auto" w:sz="0" w:space="0"/>
                <w:vertAlign w:val="baseline"/>
              </w:rPr>
              <w:t>132</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1-2</w:t>
            </w:r>
          </w:p>
        </w:tc>
        <w:tc>
          <w:tcPr>
            <w:tcW w:w="28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低（P</w:t>
            </w:r>
            <w:r>
              <w:rPr>
                <w:rFonts w:hint="eastAsia" w:ascii="宋体" w:hAnsi="宋体" w:eastAsia="宋体" w:cs="宋体"/>
                <w:b w:val="0"/>
                <w:i w:val="0"/>
                <w:caps w:val="0"/>
                <w:color w:val="565656"/>
                <w:spacing w:val="0"/>
                <w:sz w:val="24"/>
                <w:szCs w:val="24"/>
                <w:bdr w:val="none" w:color="auto" w:sz="0" w:space="0"/>
                <w:vertAlign w:val="baseline"/>
              </w:rPr>
              <w:t>133</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0-1</w:t>
            </w:r>
          </w:p>
        </w:tc>
        <w:tc>
          <w:tcPr>
            <w:tcW w:w="28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潜在危害性（P</w:t>
            </w:r>
            <w:r>
              <w:rPr>
                <w:rFonts w:hint="eastAsia" w:ascii="宋体" w:hAnsi="宋体" w:eastAsia="宋体" w:cs="宋体"/>
                <w:b w:val="0"/>
                <w:i w:val="0"/>
                <w:caps w:val="0"/>
                <w:color w:val="565656"/>
                <w:spacing w:val="0"/>
                <w:sz w:val="24"/>
                <w:szCs w:val="24"/>
                <w:bdr w:val="none" w:color="auto" w:sz="0" w:space="0"/>
                <w:vertAlign w:val="baseline"/>
              </w:rPr>
              <w:t>14</w:t>
            </w:r>
            <w:r>
              <w:rPr>
                <w:rFonts w:hint="eastAsia" w:ascii="宋体" w:hAnsi="宋体" w:eastAsia="宋体" w:cs="宋体"/>
                <w:b w:val="0"/>
                <w:i w:val="0"/>
                <w:caps w:val="0"/>
                <w:color w:val="565656"/>
                <w:spacing w:val="0"/>
                <w:sz w:val="24"/>
                <w:szCs w:val="24"/>
                <w:bdr w:val="none" w:color="auto" w:sz="0" w:space="0"/>
              </w:rPr>
              <w:t>）</w:t>
            </w: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对动物或人类健康的危害性（P</w:t>
            </w:r>
            <w:r>
              <w:rPr>
                <w:rFonts w:hint="eastAsia" w:ascii="宋体" w:hAnsi="宋体" w:eastAsia="宋体" w:cs="宋体"/>
                <w:b w:val="0"/>
                <w:i w:val="0"/>
                <w:caps w:val="0"/>
                <w:color w:val="565656"/>
                <w:spacing w:val="0"/>
                <w:sz w:val="24"/>
                <w:szCs w:val="24"/>
                <w:bdr w:val="none" w:color="auto" w:sz="0" w:space="0"/>
                <w:vertAlign w:val="baseline"/>
              </w:rPr>
              <w:t>141</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0-3</w:t>
            </w:r>
          </w:p>
        </w:tc>
        <w:tc>
          <w:tcPr>
            <w:tcW w:w="1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逐项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赋值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对生态环境的危害性（P</w:t>
            </w:r>
            <w:r>
              <w:rPr>
                <w:rFonts w:hint="eastAsia" w:ascii="宋体" w:hAnsi="宋体" w:eastAsia="宋体" w:cs="宋体"/>
                <w:b w:val="0"/>
                <w:i w:val="0"/>
                <w:caps w:val="0"/>
                <w:color w:val="565656"/>
                <w:spacing w:val="0"/>
                <w:sz w:val="24"/>
                <w:szCs w:val="24"/>
                <w:bdr w:val="none" w:color="auto" w:sz="0" w:space="0"/>
                <w:vertAlign w:val="baseline"/>
              </w:rPr>
              <w:t>142</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对经济贸易的影响（P</w:t>
            </w:r>
            <w:r>
              <w:rPr>
                <w:rFonts w:hint="eastAsia" w:ascii="宋体" w:hAnsi="宋体" w:eastAsia="宋体" w:cs="宋体"/>
                <w:b w:val="0"/>
                <w:i w:val="0"/>
                <w:caps w:val="0"/>
                <w:color w:val="565656"/>
                <w:spacing w:val="0"/>
                <w:sz w:val="24"/>
                <w:szCs w:val="24"/>
                <w:bdr w:val="none" w:color="auto" w:sz="0" w:space="0"/>
                <w:vertAlign w:val="baseline"/>
              </w:rPr>
              <w:t>143</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拟引进种类携带有害生物风险（P</w:t>
            </w:r>
            <w:r>
              <w:rPr>
                <w:rFonts w:hint="eastAsia" w:ascii="宋体" w:hAnsi="宋体" w:eastAsia="宋体" w:cs="宋体"/>
                <w:b w:val="0"/>
                <w:i w:val="0"/>
                <w:caps w:val="0"/>
                <w:color w:val="565656"/>
                <w:spacing w:val="0"/>
                <w:sz w:val="24"/>
                <w:szCs w:val="24"/>
                <w:bdr w:val="none" w:color="auto" w:sz="0" w:space="0"/>
                <w:vertAlign w:val="baseline"/>
              </w:rPr>
              <w:t>2</w:t>
            </w:r>
            <w:r>
              <w:rPr>
                <w:rFonts w:hint="eastAsia" w:ascii="宋体" w:hAnsi="宋体" w:eastAsia="宋体" w:cs="宋体"/>
                <w:b w:val="0"/>
                <w:i w:val="0"/>
                <w:caps w:val="0"/>
                <w:color w:val="565656"/>
                <w:spacing w:val="0"/>
                <w:sz w:val="24"/>
                <w:szCs w:val="24"/>
                <w:bdr w:val="none" w:color="auto" w:sz="0" w:space="0"/>
              </w:rPr>
              <w:t>）</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可携带国际检疫性有害生物情况（P</w:t>
            </w:r>
            <w:r>
              <w:rPr>
                <w:rFonts w:hint="eastAsia" w:ascii="宋体" w:hAnsi="宋体" w:eastAsia="宋体" w:cs="宋体"/>
                <w:b w:val="0"/>
                <w:i w:val="0"/>
                <w:caps w:val="0"/>
                <w:color w:val="565656"/>
                <w:spacing w:val="0"/>
                <w:sz w:val="24"/>
                <w:szCs w:val="24"/>
                <w:bdr w:val="none" w:color="auto" w:sz="0" w:space="0"/>
                <w:vertAlign w:val="baseline"/>
              </w:rPr>
              <w:t>21</w:t>
            </w:r>
            <w:r>
              <w:rPr>
                <w:rFonts w:hint="eastAsia" w:ascii="宋体" w:hAnsi="宋体" w:eastAsia="宋体" w:cs="宋体"/>
                <w:b w:val="0"/>
                <w:i w:val="0"/>
                <w:caps w:val="0"/>
                <w:color w:val="565656"/>
                <w:spacing w:val="0"/>
                <w:sz w:val="24"/>
                <w:szCs w:val="24"/>
                <w:bdr w:val="none" w:color="auto" w:sz="0" w:space="0"/>
              </w:rPr>
              <w:t>）（包括列入其他国家或地区的进境检疫性有害生物）</w:t>
            </w: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1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逐项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赋值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可携带中国限定进境植物检疫性有害生物情况（P</w:t>
            </w:r>
            <w:r>
              <w:rPr>
                <w:rFonts w:hint="eastAsia" w:ascii="宋体" w:hAnsi="宋体" w:eastAsia="宋体" w:cs="宋体"/>
                <w:b w:val="0"/>
                <w:i w:val="0"/>
                <w:caps w:val="0"/>
                <w:color w:val="565656"/>
                <w:spacing w:val="0"/>
                <w:sz w:val="24"/>
                <w:szCs w:val="24"/>
                <w:bdr w:val="none" w:color="auto" w:sz="0" w:space="0"/>
                <w:vertAlign w:val="baseline"/>
              </w:rPr>
              <w:t>22</w:t>
            </w:r>
            <w:r>
              <w:rPr>
                <w:rFonts w:hint="eastAsia" w:ascii="宋体" w:hAnsi="宋体" w:eastAsia="宋体" w:cs="宋体"/>
                <w:b w:val="0"/>
                <w:i w:val="0"/>
                <w:caps w:val="0"/>
                <w:color w:val="565656"/>
                <w:spacing w:val="0"/>
                <w:sz w:val="24"/>
                <w:szCs w:val="24"/>
                <w:bdr w:val="none" w:color="auto" w:sz="0" w:space="0"/>
              </w:rPr>
              <w:t>）</w:t>
            </w: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15"/>
                <w:sz w:val="24"/>
                <w:szCs w:val="24"/>
                <w:bdr w:val="none" w:color="auto" w:sz="0" w:space="0"/>
              </w:rPr>
              <w:t>可携带非上述有害生物情况（P</w:t>
            </w:r>
            <w:r>
              <w:rPr>
                <w:rFonts w:hint="eastAsia" w:ascii="宋体" w:hAnsi="宋体" w:eastAsia="宋体" w:cs="宋体"/>
                <w:b w:val="0"/>
                <w:i w:val="0"/>
                <w:caps w:val="0"/>
                <w:color w:val="565656"/>
                <w:spacing w:val="0"/>
                <w:sz w:val="24"/>
                <w:szCs w:val="24"/>
                <w:bdr w:val="none" w:color="auto" w:sz="0" w:space="0"/>
                <w:vertAlign w:val="baseline"/>
              </w:rPr>
              <w:t>23</w:t>
            </w:r>
            <w:r>
              <w:rPr>
                <w:rFonts w:hint="eastAsia" w:ascii="宋体" w:hAnsi="宋体" w:eastAsia="宋体" w:cs="宋体"/>
                <w:b w:val="0"/>
                <w:i w:val="0"/>
                <w:caps w:val="0"/>
                <w:color w:val="565656"/>
                <w:spacing w:val="-15"/>
                <w:sz w:val="24"/>
                <w:szCs w:val="24"/>
                <w:bdr w:val="none" w:color="auto" w:sz="0" w:space="0"/>
              </w:rPr>
              <w:t>）</w:t>
            </w: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拟引进种类引进状况风险（P</w:t>
            </w:r>
            <w:r>
              <w:rPr>
                <w:rFonts w:hint="eastAsia" w:ascii="宋体" w:hAnsi="宋体" w:eastAsia="宋体" w:cs="宋体"/>
                <w:b w:val="0"/>
                <w:i w:val="0"/>
                <w:caps w:val="0"/>
                <w:color w:val="565656"/>
                <w:spacing w:val="0"/>
                <w:sz w:val="24"/>
                <w:szCs w:val="24"/>
                <w:bdr w:val="none" w:color="auto" w:sz="0" w:space="0"/>
                <w:vertAlign w:val="baseline"/>
              </w:rPr>
              <w:t>3</w:t>
            </w:r>
            <w:r>
              <w:rPr>
                <w:rFonts w:hint="eastAsia" w:ascii="宋体" w:hAnsi="宋体" w:eastAsia="宋体" w:cs="宋体"/>
                <w:b w:val="0"/>
                <w:i w:val="0"/>
                <w:caps w:val="0"/>
                <w:color w:val="565656"/>
                <w:spacing w:val="0"/>
                <w:sz w:val="24"/>
                <w:szCs w:val="24"/>
                <w:bdr w:val="none" w:color="auto" w:sz="0" w:space="0"/>
              </w:rPr>
              <w:t>）</w:t>
            </w:r>
          </w:p>
        </w:tc>
        <w:tc>
          <w:tcPr>
            <w:tcW w:w="4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引进数量（P</w:t>
            </w:r>
            <w:r>
              <w:rPr>
                <w:rFonts w:hint="eastAsia" w:ascii="宋体" w:hAnsi="宋体" w:eastAsia="宋体" w:cs="宋体"/>
                <w:b w:val="0"/>
                <w:i w:val="0"/>
                <w:caps w:val="0"/>
                <w:color w:val="565656"/>
                <w:spacing w:val="0"/>
                <w:sz w:val="24"/>
                <w:szCs w:val="24"/>
                <w:bdr w:val="none" w:color="auto" w:sz="0" w:space="0"/>
                <w:vertAlign w:val="baseline"/>
              </w:rPr>
              <w:t>31</w:t>
            </w:r>
            <w:r>
              <w:rPr>
                <w:rFonts w:hint="eastAsia" w:ascii="宋体" w:hAnsi="宋体" w:eastAsia="宋体" w:cs="宋体"/>
                <w:b w:val="0"/>
                <w:i w:val="0"/>
                <w:caps w:val="0"/>
                <w:color w:val="565656"/>
                <w:spacing w:val="0"/>
                <w:sz w:val="24"/>
                <w:szCs w:val="24"/>
                <w:bdr w:val="none" w:color="auto" w:sz="0" w:space="0"/>
              </w:rPr>
              <w:t>）</w:t>
            </w: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小于国家确定的单次引进数量（P</w:t>
            </w:r>
            <w:r>
              <w:rPr>
                <w:rFonts w:hint="eastAsia" w:ascii="宋体" w:hAnsi="宋体" w:eastAsia="宋体" w:cs="宋体"/>
                <w:b w:val="0"/>
                <w:i w:val="0"/>
                <w:caps w:val="0"/>
                <w:color w:val="565656"/>
                <w:spacing w:val="0"/>
                <w:sz w:val="24"/>
                <w:szCs w:val="24"/>
                <w:bdr w:val="none" w:color="auto" w:sz="0" w:space="0"/>
                <w:vertAlign w:val="baseline"/>
              </w:rPr>
              <w:t>311</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0-2</w:t>
            </w:r>
          </w:p>
        </w:tc>
        <w:tc>
          <w:tcPr>
            <w:tcW w:w="1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赋值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大于国家确定的单次引进数量（P</w:t>
            </w:r>
            <w:r>
              <w:rPr>
                <w:rFonts w:hint="eastAsia" w:ascii="宋体" w:hAnsi="宋体" w:eastAsia="宋体" w:cs="宋体"/>
                <w:b w:val="0"/>
                <w:i w:val="0"/>
                <w:caps w:val="0"/>
                <w:color w:val="565656"/>
                <w:spacing w:val="0"/>
                <w:sz w:val="24"/>
                <w:szCs w:val="24"/>
                <w:bdr w:val="none" w:color="auto" w:sz="0" w:space="0"/>
                <w:vertAlign w:val="baseline"/>
              </w:rPr>
              <w:t>312</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引进用途（P</w:t>
            </w:r>
            <w:r>
              <w:rPr>
                <w:rFonts w:hint="eastAsia" w:ascii="宋体" w:hAnsi="宋体" w:eastAsia="宋体" w:cs="宋体"/>
                <w:b w:val="0"/>
                <w:i w:val="0"/>
                <w:caps w:val="0"/>
                <w:color w:val="565656"/>
                <w:spacing w:val="0"/>
                <w:sz w:val="24"/>
                <w:szCs w:val="24"/>
                <w:bdr w:val="none" w:color="auto" w:sz="0" w:space="0"/>
                <w:vertAlign w:val="baseline"/>
              </w:rPr>
              <w:t>32</w:t>
            </w:r>
            <w:r>
              <w:rPr>
                <w:rFonts w:hint="eastAsia" w:ascii="宋体" w:hAnsi="宋体" w:eastAsia="宋体" w:cs="宋体"/>
                <w:b w:val="0"/>
                <w:i w:val="0"/>
                <w:caps w:val="0"/>
                <w:color w:val="565656"/>
                <w:spacing w:val="0"/>
                <w:sz w:val="24"/>
                <w:szCs w:val="24"/>
                <w:bdr w:val="none" w:color="auto" w:sz="0" w:space="0"/>
              </w:rPr>
              <w:t>）</w:t>
            </w: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直接用于种植（P</w:t>
            </w:r>
            <w:r>
              <w:rPr>
                <w:rFonts w:hint="eastAsia" w:ascii="宋体" w:hAnsi="宋体" w:eastAsia="宋体" w:cs="宋体"/>
                <w:b w:val="0"/>
                <w:i w:val="0"/>
                <w:caps w:val="0"/>
                <w:color w:val="565656"/>
                <w:spacing w:val="0"/>
                <w:sz w:val="24"/>
                <w:szCs w:val="24"/>
                <w:bdr w:val="none" w:color="auto" w:sz="0" w:space="0"/>
                <w:vertAlign w:val="baseline"/>
              </w:rPr>
              <w:t>321</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经室内培育后用于种植（P</w:t>
            </w:r>
            <w:r>
              <w:rPr>
                <w:rFonts w:hint="eastAsia" w:ascii="宋体" w:hAnsi="宋体" w:eastAsia="宋体" w:cs="宋体"/>
                <w:b w:val="0"/>
                <w:i w:val="0"/>
                <w:caps w:val="0"/>
                <w:color w:val="565656"/>
                <w:spacing w:val="0"/>
                <w:sz w:val="24"/>
                <w:szCs w:val="24"/>
                <w:bdr w:val="none" w:color="auto" w:sz="0" w:space="0"/>
                <w:vertAlign w:val="baseline"/>
              </w:rPr>
              <w:t>322</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0-2</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引进类型（P</w:t>
            </w:r>
            <w:r>
              <w:rPr>
                <w:rFonts w:hint="eastAsia" w:ascii="宋体" w:hAnsi="宋体" w:eastAsia="宋体" w:cs="宋体"/>
                <w:b w:val="0"/>
                <w:i w:val="0"/>
                <w:caps w:val="0"/>
                <w:color w:val="565656"/>
                <w:spacing w:val="0"/>
                <w:sz w:val="24"/>
                <w:szCs w:val="24"/>
                <w:bdr w:val="none" w:color="auto" w:sz="0" w:space="0"/>
                <w:vertAlign w:val="baseline"/>
              </w:rPr>
              <w:t>33</w:t>
            </w:r>
            <w:r>
              <w:rPr>
                <w:rFonts w:hint="eastAsia" w:ascii="宋体" w:hAnsi="宋体" w:eastAsia="宋体" w:cs="宋体"/>
                <w:b w:val="0"/>
                <w:i w:val="0"/>
                <w:caps w:val="0"/>
                <w:color w:val="565656"/>
                <w:spacing w:val="0"/>
                <w:sz w:val="24"/>
                <w:szCs w:val="24"/>
                <w:bdr w:val="none" w:color="auto" w:sz="0" w:space="0"/>
              </w:rPr>
              <w:t>）</w:t>
            </w:r>
          </w:p>
        </w:tc>
        <w:tc>
          <w:tcPr>
            <w:tcW w:w="27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实生苗（P</w:t>
            </w:r>
            <w:r>
              <w:rPr>
                <w:rFonts w:hint="eastAsia" w:ascii="宋体" w:hAnsi="宋体" w:eastAsia="宋体" w:cs="宋体"/>
                <w:b w:val="0"/>
                <w:i w:val="0"/>
                <w:caps w:val="0"/>
                <w:color w:val="565656"/>
                <w:spacing w:val="0"/>
                <w:sz w:val="24"/>
                <w:szCs w:val="24"/>
                <w:bdr w:val="none" w:color="auto" w:sz="0" w:space="0"/>
                <w:vertAlign w:val="baseline"/>
              </w:rPr>
              <w:t>331</w:t>
            </w:r>
            <w:r>
              <w:rPr>
                <w:rFonts w:hint="eastAsia" w:ascii="宋体" w:hAnsi="宋体" w:eastAsia="宋体" w:cs="宋体"/>
                <w:b w:val="0"/>
                <w:i w:val="0"/>
                <w:caps w:val="0"/>
                <w:color w:val="565656"/>
                <w:spacing w:val="0"/>
                <w:sz w:val="24"/>
                <w:szCs w:val="24"/>
                <w:bdr w:val="none" w:color="auto" w:sz="0" w:space="0"/>
              </w:rPr>
              <w:t>）</w:t>
            </w:r>
          </w:p>
        </w:tc>
        <w:tc>
          <w:tcPr>
            <w:tcW w:w="28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胸径125px以上</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2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28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胸径125px以下</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种子（P</w:t>
            </w:r>
            <w:r>
              <w:rPr>
                <w:rFonts w:hint="eastAsia" w:ascii="宋体" w:hAnsi="宋体" w:eastAsia="宋体" w:cs="宋体"/>
                <w:b w:val="0"/>
                <w:i w:val="0"/>
                <w:caps w:val="0"/>
                <w:color w:val="565656"/>
                <w:spacing w:val="0"/>
                <w:sz w:val="24"/>
                <w:szCs w:val="24"/>
                <w:bdr w:val="none" w:color="auto" w:sz="0" w:space="0"/>
                <w:vertAlign w:val="baseline"/>
              </w:rPr>
              <w:t>332</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繁殖材料（如插条、接穗、砧木、种球、花以及植物器官等）（P</w:t>
            </w:r>
            <w:r>
              <w:rPr>
                <w:rFonts w:hint="eastAsia" w:ascii="宋体" w:hAnsi="宋体" w:eastAsia="宋体" w:cs="宋体"/>
                <w:b w:val="0"/>
                <w:i w:val="0"/>
                <w:caps w:val="0"/>
                <w:color w:val="565656"/>
                <w:spacing w:val="0"/>
                <w:sz w:val="24"/>
                <w:szCs w:val="24"/>
                <w:bdr w:val="none" w:color="auto" w:sz="0" w:space="0"/>
                <w:vertAlign w:val="baseline"/>
              </w:rPr>
              <w:t>333</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营养繁殖苗（P</w:t>
            </w:r>
            <w:r>
              <w:rPr>
                <w:rFonts w:hint="eastAsia" w:ascii="宋体" w:hAnsi="宋体" w:eastAsia="宋体" w:cs="宋体"/>
                <w:b w:val="0"/>
                <w:i w:val="0"/>
                <w:caps w:val="0"/>
                <w:color w:val="565656"/>
                <w:spacing w:val="0"/>
                <w:sz w:val="24"/>
                <w:szCs w:val="24"/>
                <w:bdr w:val="none" w:color="auto" w:sz="0" w:space="0"/>
                <w:vertAlign w:val="baseline"/>
              </w:rPr>
              <w:t>334</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引进种植地点（P</w:t>
            </w:r>
            <w:r>
              <w:rPr>
                <w:rFonts w:hint="eastAsia" w:ascii="宋体" w:hAnsi="宋体" w:eastAsia="宋体" w:cs="宋体"/>
                <w:b w:val="0"/>
                <w:i w:val="0"/>
                <w:caps w:val="0"/>
                <w:color w:val="565656"/>
                <w:spacing w:val="0"/>
                <w:sz w:val="24"/>
                <w:szCs w:val="24"/>
                <w:bdr w:val="none" w:color="auto" w:sz="0" w:space="0"/>
                <w:vertAlign w:val="baseline"/>
              </w:rPr>
              <w:t>34</w:t>
            </w:r>
            <w:r>
              <w:rPr>
                <w:rFonts w:hint="eastAsia" w:ascii="宋体" w:hAnsi="宋体" w:eastAsia="宋体" w:cs="宋体"/>
                <w:b w:val="0"/>
                <w:i w:val="0"/>
                <w:caps w:val="0"/>
                <w:color w:val="565656"/>
                <w:spacing w:val="0"/>
                <w:sz w:val="24"/>
                <w:szCs w:val="24"/>
                <w:bdr w:val="none" w:color="auto" w:sz="0" w:space="0"/>
              </w:rPr>
              <w:t>）</w:t>
            </w: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室外种植（P</w:t>
            </w:r>
            <w:r>
              <w:rPr>
                <w:rFonts w:hint="eastAsia" w:ascii="宋体" w:hAnsi="宋体" w:eastAsia="宋体" w:cs="宋体"/>
                <w:b w:val="0"/>
                <w:i w:val="0"/>
                <w:caps w:val="0"/>
                <w:color w:val="565656"/>
                <w:spacing w:val="0"/>
                <w:sz w:val="24"/>
                <w:szCs w:val="24"/>
                <w:bdr w:val="none" w:color="auto" w:sz="0" w:space="0"/>
                <w:vertAlign w:val="baseline"/>
              </w:rPr>
              <w:t>341</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0"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5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室内（庭院）种植（P</w:t>
            </w:r>
            <w:r>
              <w:rPr>
                <w:rFonts w:hint="eastAsia" w:ascii="宋体" w:hAnsi="宋体" w:eastAsia="宋体" w:cs="宋体"/>
                <w:b w:val="0"/>
                <w:i w:val="0"/>
                <w:caps w:val="0"/>
                <w:color w:val="565656"/>
                <w:spacing w:val="0"/>
                <w:sz w:val="24"/>
                <w:szCs w:val="24"/>
                <w:bdr w:val="none" w:color="auto" w:sz="0" w:space="0"/>
                <w:vertAlign w:val="baseline"/>
              </w:rPr>
              <w:t>342</w:t>
            </w:r>
            <w:r>
              <w:rPr>
                <w:rFonts w:hint="eastAsia" w:ascii="宋体" w:hAnsi="宋体" w:eastAsia="宋体" w:cs="宋体"/>
                <w:b w:val="0"/>
                <w:i w:val="0"/>
                <w:caps w:val="0"/>
                <w:color w:val="565656"/>
                <w:spacing w:val="0"/>
                <w:sz w:val="24"/>
                <w:szCs w:val="24"/>
                <w:bdr w:val="none" w:color="auto" w:sz="0" w:space="0"/>
              </w:rPr>
              <w:t>）</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检疫管理状况风险（P</w:t>
            </w:r>
            <w:r>
              <w:rPr>
                <w:rFonts w:hint="eastAsia" w:ascii="宋体" w:hAnsi="宋体" w:eastAsia="宋体" w:cs="宋体"/>
                <w:b w:val="0"/>
                <w:i w:val="0"/>
                <w:caps w:val="0"/>
                <w:color w:val="565656"/>
                <w:spacing w:val="0"/>
                <w:sz w:val="24"/>
                <w:szCs w:val="24"/>
                <w:bdr w:val="none" w:color="auto" w:sz="0" w:space="0"/>
                <w:vertAlign w:val="baseline"/>
              </w:rPr>
              <w:t>4</w:t>
            </w:r>
            <w:r>
              <w:rPr>
                <w:rFonts w:hint="eastAsia" w:ascii="宋体" w:hAnsi="宋体" w:eastAsia="宋体" w:cs="宋体"/>
                <w:b w:val="0"/>
                <w:i w:val="0"/>
                <w:caps w:val="0"/>
                <w:color w:val="565656"/>
                <w:spacing w:val="0"/>
                <w:sz w:val="24"/>
                <w:szCs w:val="24"/>
                <w:bdr w:val="none" w:color="auto" w:sz="0" w:space="0"/>
              </w:rPr>
              <w:t>）</w:t>
            </w:r>
          </w:p>
        </w:tc>
        <w:tc>
          <w:tcPr>
            <w:tcW w:w="4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拟引进种类原产地检疫管理状况（P</w:t>
            </w:r>
            <w:r>
              <w:rPr>
                <w:rFonts w:hint="eastAsia" w:ascii="宋体" w:hAnsi="宋体" w:eastAsia="宋体" w:cs="宋体"/>
                <w:b w:val="0"/>
                <w:i w:val="0"/>
                <w:caps w:val="0"/>
                <w:color w:val="565656"/>
                <w:spacing w:val="0"/>
                <w:sz w:val="24"/>
                <w:szCs w:val="24"/>
                <w:bdr w:val="none" w:color="auto" w:sz="0" w:space="0"/>
                <w:vertAlign w:val="baseline"/>
              </w:rPr>
              <w:t>41</w:t>
            </w:r>
            <w:r>
              <w:rPr>
                <w:rFonts w:hint="eastAsia" w:ascii="宋体" w:hAnsi="宋体" w:eastAsia="宋体" w:cs="宋体"/>
                <w:b w:val="0"/>
                <w:i w:val="0"/>
                <w:caps w:val="0"/>
                <w:color w:val="565656"/>
                <w:spacing w:val="0"/>
                <w:sz w:val="24"/>
                <w:szCs w:val="24"/>
                <w:bdr w:val="none" w:color="auto" w:sz="0" w:space="0"/>
              </w:rPr>
              <w:t>）</w:t>
            </w:r>
          </w:p>
        </w:tc>
        <w:tc>
          <w:tcPr>
            <w:tcW w:w="43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原产地有害生物检疫管理状况（P</w:t>
            </w:r>
            <w:r>
              <w:rPr>
                <w:rFonts w:hint="eastAsia" w:ascii="宋体" w:hAnsi="宋体" w:eastAsia="宋体" w:cs="宋体"/>
                <w:b w:val="0"/>
                <w:i w:val="0"/>
                <w:caps w:val="0"/>
                <w:color w:val="565656"/>
                <w:spacing w:val="0"/>
                <w:sz w:val="24"/>
                <w:szCs w:val="24"/>
                <w:bdr w:val="none" w:color="auto" w:sz="0" w:space="0"/>
                <w:vertAlign w:val="baseline"/>
              </w:rPr>
              <w:t>411</w:t>
            </w:r>
            <w:r>
              <w:rPr>
                <w:rFonts w:hint="eastAsia" w:ascii="宋体" w:hAnsi="宋体" w:eastAsia="宋体" w:cs="宋体"/>
                <w:b w:val="0"/>
                <w:i w:val="0"/>
                <w:caps w:val="0"/>
                <w:color w:val="565656"/>
                <w:spacing w:val="0"/>
                <w:sz w:val="24"/>
                <w:szCs w:val="24"/>
                <w:bdr w:val="none" w:color="auto" w:sz="0" w:space="0"/>
              </w:rPr>
              <w:t>）</w:t>
            </w: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好</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0-1</w:t>
            </w:r>
          </w:p>
        </w:tc>
        <w:tc>
          <w:tcPr>
            <w:tcW w:w="1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3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中</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1-2</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3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差</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3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原产地所在国家（地区）出境检疫管理状况（P</w:t>
            </w:r>
            <w:r>
              <w:rPr>
                <w:rFonts w:hint="eastAsia" w:ascii="宋体" w:hAnsi="宋体" w:eastAsia="宋体" w:cs="宋体"/>
                <w:b w:val="0"/>
                <w:i w:val="0"/>
                <w:caps w:val="0"/>
                <w:color w:val="565656"/>
                <w:spacing w:val="0"/>
                <w:sz w:val="24"/>
                <w:szCs w:val="24"/>
                <w:bdr w:val="none" w:color="auto" w:sz="0" w:space="0"/>
                <w:vertAlign w:val="baseline"/>
              </w:rPr>
              <w:t>412</w:t>
            </w:r>
            <w:r>
              <w:rPr>
                <w:rFonts w:hint="eastAsia" w:ascii="宋体" w:hAnsi="宋体" w:eastAsia="宋体" w:cs="宋体"/>
                <w:b w:val="0"/>
                <w:i w:val="0"/>
                <w:caps w:val="0"/>
                <w:color w:val="565656"/>
                <w:spacing w:val="0"/>
                <w:sz w:val="24"/>
                <w:szCs w:val="24"/>
                <w:bdr w:val="none" w:color="auto" w:sz="0" w:space="0"/>
              </w:rPr>
              <w:t>）</w:t>
            </w: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好</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0-1</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3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中</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1-2</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3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差</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国内检疫隔离与监管状况（P</w:t>
            </w:r>
            <w:r>
              <w:rPr>
                <w:rFonts w:hint="eastAsia" w:ascii="宋体" w:hAnsi="宋体" w:eastAsia="宋体" w:cs="宋体"/>
                <w:b w:val="0"/>
                <w:i w:val="0"/>
                <w:caps w:val="0"/>
                <w:color w:val="565656"/>
                <w:spacing w:val="0"/>
                <w:sz w:val="24"/>
                <w:szCs w:val="24"/>
                <w:bdr w:val="none" w:color="auto" w:sz="0" w:space="0"/>
                <w:vertAlign w:val="baseline"/>
              </w:rPr>
              <w:t>42</w:t>
            </w:r>
            <w:r>
              <w:rPr>
                <w:rFonts w:hint="eastAsia" w:ascii="宋体" w:hAnsi="宋体" w:eastAsia="宋体" w:cs="宋体"/>
                <w:b w:val="0"/>
                <w:i w:val="0"/>
                <w:caps w:val="0"/>
                <w:color w:val="565656"/>
                <w:spacing w:val="0"/>
                <w:sz w:val="24"/>
                <w:szCs w:val="24"/>
                <w:bdr w:val="none" w:color="auto" w:sz="0" w:space="0"/>
              </w:rPr>
              <w:t>）</w:t>
            </w:r>
          </w:p>
        </w:tc>
        <w:tc>
          <w:tcPr>
            <w:tcW w:w="43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拟隔离试种苗圃的养护和管理状况（P</w:t>
            </w:r>
            <w:r>
              <w:rPr>
                <w:rFonts w:hint="eastAsia" w:ascii="宋体" w:hAnsi="宋体" w:eastAsia="宋体" w:cs="宋体"/>
                <w:b w:val="0"/>
                <w:i w:val="0"/>
                <w:caps w:val="0"/>
                <w:color w:val="565656"/>
                <w:spacing w:val="0"/>
                <w:sz w:val="24"/>
                <w:szCs w:val="24"/>
                <w:bdr w:val="none" w:color="auto" w:sz="0" w:space="0"/>
                <w:vertAlign w:val="baseline"/>
              </w:rPr>
              <w:t>421</w:t>
            </w:r>
            <w:r>
              <w:rPr>
                <w:rFonts w:hint="eastAsia" w:ascii="宋体" w:hAnsi="宋体" w:eastAsia="宋体" w:cs="宋体"/>
                <w:b w:val="0"/>
                <w:i w:val="0"/>
                <w:caps w:val="0"/>
                <w:color w:val="565656"/>
                <w:spacing w:val="0"/>
                <w:sz w:val="24"/>
                <w:szCs w:val="24"/>
                <w:bdr w:val="none" w:color="auto" w:sz="0" w:space="0"/>
              </w:rPr>
              <w:t>）</w:t>
            </w: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好</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0-1</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3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中</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1-2</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3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差</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3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拟隔离试种地植物检疫机构监管能力（P</w:t>
            </w:r>
            <w:r>
              <w:rPr>
                <w:rFonts w:hint="eastAsia" w:ascii="宋体" w:hAnsi="宋体" w:eastAsia="宋体" w:cs="宋体"/>
                <w:b w:val="0"/>
                <w:i w:val="0"/>
                <w:caps w:val="0"/>
                <w:color w:val="565656"/>
                <w:spacing w:val="0"/>
                <w:sz w:val="24"/>
                <w:szCs w:val="24"/>
                <w:bdr w:val="none" w:color="auto" w:sz="0" w:space="0"/>
                <w:vertAlign w:val="baseline"/>
              </w:rPr>
              <w:t>422</w:t>
            </w:r>
            <w:r>
              <w:rPr>
                <w:rFonts w:hint="eastAsia" w:ascii="宋体" w:hAnsi="宋体" w:eastAsia="宋体" w:cs="宋体"/>
                <w:b w:val="0"/>
                <w:i w:val="0"/>
                <w:caps w:val="0"/>
                <w:color w:val="565656"/>
                <w:spacing w:val="0"/>
                <w:sz w:val="24"/>
                <w:szCs w:val="24"/>
                <w:bdr w:val="none" w:color="auto" w:sz="0" w:space="0"/>
              </w:rPr>
              <w:t>）</w:t>
            </w: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高</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0-1</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3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中</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1-2</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 w:hRule="atLeast"/>
          <w:jc w:val="center"/>
        </w:trPr>
        <w:tc>
          <w:tcPr>
            <w:tcW w:w="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3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6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43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c>
          <w:tcPr>
            <w:tcW w:w="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低</w:t>
            </w:r>
          </w:p>
        </w:tc>
        <w:tc>
          <w:tcPr>
            <w:tcW w:w="1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rPr>
            </w:pPr>
            <w:r>
              <w:rPr>
                <w:rFonts w:hint="eastAsia" w:ascii="宋体" w:hAnsi="宋体" w:eastAsia="宋体" w:cs="宋体"/>
                <w:b w:val="0"/>
                <w:i w:val="0"/>
                <w:caps w:val="0"/>
                <w:color w:val="565656"/>
                <w:spacing w:val="0"/>
                <w:sz w:val="24"/>
                <w:szCs w:val="24"/>
                <w:bdr w:val="none" w:color="auto" w:sz="0" w:space="0"/>
              </w:rPr>
              <w:t>2-3</w:t>
            </w:r>
          </w:p>
        </w:tc>
        <w:tc>
          <w:tcPr>
            <w:tcW w:w="1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56565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840" w:type="dxa"/>
            <w:tcBorders>
              <w:top w:val="nil"/>
              <w:left w:val="nil"/>
              <w:bottom w:val="nil"/>
              <w:right w:val="nil"/>
            </w:tcBorders>
            <w:shd w:val="clear" w:color="auto" w:fill="FFFFFF"/>
            <w:vAlign w:val="center"/>
          </w:tcPr>
          <w:p>
            <w:pPr>
              <w:rPr>
                <w:rFonts w:hint="eastAsia" w:ascii="微软雅黑" w:hAnsi="微软雅黑" w:eastAsia="微软雅黑" w:cs="微软雅黑"/>
                <w:b w:val="0"/>
                <w:i w:val="0"/>
                <w:caps w:val="0"/>
                <w:color w:val="565656"/>
                <w:spacing w:val="0"/>
                <w:sz w:val="24"/>
                <w:szCs w:val="24"/>
              </w:rPr>
            </w:pPr>
          </w:p>
        </w:tc>
        <w:tc>
          <w:tcPr>
            <w:tcW w:w="1110" w:type="dxa"/>
            <w:tcBorders>
              <w:top w:val="nil"/>
              <w:left w:val="nil"/>
              <w:bottom w:val="nil"/>
              <w:right w:val="nil"/>
            </w:tcBorders>
            <w:shd w:val="clear" w:color="auto" w:fill="FFFFFF"/>
            <w:vAlign w:val="center"/>
          </w:tcPr>
          <w:p>
            <w:pPr>
              <w:rPr>
                <w:rFonts w:hint="eastAsia" w:ascii="微软雅黑" w:hAnsi="微软雅黑" w:eastAsia="微软雅黑" w:cs="微软雅黑"/>
                <w:b w:val="0"/>
                <w:i w:val="0"/>
                <w:caps w:val="0"/>
                <w:color w:val="565656"/>
                <w:spacing w:val="0"/>
                <w:sz w:val="24"/>
                <w:szCs w:val="24"/>
              </w:rPr>
            </w:pPr>
          </w:p>
        </w:tc>
        <w:tc>
          <w:tcPr>
            <w:tcW w:w="3915" w:type="dxa"/>
            <w:tcBorders>
              <w:top w:val="nil"/>
              <w:left w:val="nil"/>
              <w:bottom w:val="nil"/>
              <w:right w:val="nil"/>
            </w:tcBorders>
            <w:shd w:val="clear" w:color="auto" w:fill="FFFFFF"/>
            <w:vAlign w:val="center"/>
          </w:tcPr>
          <w:p>
            <w:pPr>
              <w:rPr>
                <w:rFonts w:hint="eastAsia" w:ascii="微软雅黑" w:hAnsi="微软雅黑" w:eastAsia="微软雅黑" w:cs="微软雅黑"/>
                <w:b w:val="0"/>
                <w:i w:val="0"/>
                <w:caps w:val="0"/>
                <w:color w:val="565656"/>
                <w:spacing w:val="0"/>
                <w:sz w:val="24"/>
                <w:szCs w:val="24"/>
              </w:rPr>
            </w:pPr>
          </w:p>
        </w:tc>
        <w:tc>
          <w:tcPr>
            <w:tcW w:w="2265" w:type="dxa"/>
            <w:tcBorders>
              <w:top w:val="nil"/>
              <w:left w:val="nil"/>
              <w:bottom w:val="nil"/>
              <w:right w:val="nil"/>
            </w:tcBorders>
            <w:shd w:val="clear" w:color="auto" w:fill="FFFFFF"/>
            <w:vAlign w:val="center"/>
          </w:tcPr>
          <w:p>
            <w:pPr>
              <w:rPr>
                <w:rFonts w:hint="eastAsia" w:ascii="微软雅黑" w:hAnsi="微软雅黑" w:eastAsia="微软雅黑" w:cs="微软雅黑"/>
                <w:b w:val="0"/>
                <w:i w:val="0"/>
                <w:caps w:val="0"/>
                <w:color w:val="565656"/>
                <w:spacing w:val="0"/>
                <w:sz w:val="24"/>
                <w:szCs w:val="24"/>
              </w:rPr>
            </w:pPr>
          </w:p>
        </w:tc>
        <w:tc>
          <w:tcPr>
            <w:tcW w:w="1320" w:type="dxa"/>
            <w:tcBorders>
              <w:top w:val="nil"/>
              <w:left w:val="nil"/>
              <w:bottom w:val="nil"/>
              <w:right w:val="nil"/>
            </w:tcBorders>
            <w:shd w:val="clear" w:color="auto" w:fill="FFFFFF"/>
            <w:vAlign w:val="center"/>
          </w:tcPr>
          <w:p>
            <w:pPr>
              <w:rPr>
                <w:rFonts w:hint="eastAsia" w:ascii="微软雅黑" w:hAnsi="微软雅黑" w:eastAsia="微软雅黑" w:cs="微软雅黑"/>
                <w:b w:val="0"/>
                <w:i w:val="0"/>
                <w:caps w:val="0"/>
                <w:color w:val="565656"/>
                <w:spacing w:val="0"/>
                <w:sz w:val="24"/>
                <w:szCs w:val="24"/>
              </w:rPr>
            </w:pPr>
          </w:p>
        </w:tc>
        <w:tc>
          <w:tcPr>
            <w:tcW w:w="1050" w:type="dxa"/>
            <w:tcBorders>
              <w:top w:val="nil"/>
              <w:left w:val="nil"/>
              <w:bottom w:val="nil"/>
              <w:right w:val="nil"/>
            </w:tcBorders>
            <w:shd w:val="clear" w:color="auto" w:fill="FFFFFF"/>
            <w:vAlign w:val="center"/>
          </w:tcPr>
          <w:p>
            <w:pPr>
              <w:rPr>
                <w:rFonts w:hint="eastAsia" w:ascii="微软雅黑" w:hAnsi="微软雅黑" w:eastAsia="微软雅黑" w:cs="微软雅黑"/>
                <w:b w:val="0"/>
                <w:i w:val="0"/>
                <w:caps w:val="0"/>
                <w:color w:val="565656"/>
                <w:spacing w:val="0"/>
                <w:sz w:val="24"/>
                <w:szCs w:val="24"/>
              </w:rPr>
            </w:pPr>
          </w:p>
        </w:tc>
        <w:tc>
          <w:tcPr>
            <w:tcW w:w="960" w:type="dxa"/>
            <w:tcBorders>
              <w:top w:val="nil"/>
              <w:left w:val="nil"/>
              <w:bottom w:val="nil"/>
              <w:right w:val="nil"/>
            </w:tcBorders>
            <w:shd w:val="clear" w:color="auto" w:fill="FFFFFF"/>
            <w:vAlign w:val="center"/>
          </w:tcPr>
          <w:p>
            <w:pPr>
              <w:rPr>
                <w:rFonts w:hint="eastAsia" w:ascii="微软雅黑" w:hAnsi="微软雅黑" w:eastAsia="微软雅黑" w:cs="微软雅黑"/>
                <w:b w:val="0"/>
                <w:i w:val="0"/>
                <w:caps w:val="0"/>
                <w:color w:val="565656"/>
                <w:spacing w:val="0"/>
                <w:sz w:val="24"/>
                <w:szCs w:val="24"/>
              </w:rPr>
            </w:pPr>
          </w:p>
        </w:tc>
        <w:tc>
          <w:tcPr>
            <w:tcW w:w="315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565656"/>
                <w:spacing w:val="0"/>
                <w:sz w:val="24"/>
                <w:szCs w:val="24"/>
              </w:rPr>
            </w:pPr>
          </w:p>
        </w:tc>
      </w:tr>
    </w:tbl>
    <w:p>
      <w:pPr>
        <w:pStyle w:val="2"/>
        <w:keepNext w:val="0"/>
        <w:keepLines w:val="0"/>
        <w:widowControl/>
        <w:suppressLineNumbers w:val="0"/>
        <w:ind w:left="0" w:firstLine="420"/>
        <w:rPr>
          <w:sz w:val="24"/>
          <w:szCs w:val="24"/>
        </w:rPr>
      </w:pPr>
      <w:r>
        <w:rPr>
          <w:rFonts w:ascii="楷体" w:hAnsi="楷体" w:eastAsia="楷体" w:cs="楷体"/>
          <w:sz w:val="24"/>
          <w:szCs w:val="24"/>
        </w:rPr>
        <w:t>注：1.国家确定的单次引进数量见国家林业和草原局印发的《引进林草种子、苗木检疫审批与监管办法》中确定的单次引进数量。</w:t>
      </w:r>
    </w:p>
    <w:p>
      <w:pPr>
        <w:pStyle w:val="2"/>
        <w:keepNext w:val="0"/>
        <w:keepLines w:val="0"/>
        <w:widowControl/>
        <w:suppressLineNumbers w:val="0"/>
        <w:ind w:left="0" w:firstLine="420"/>
        <w:rPr>
          <w:sz w:val="24"/>
          <w:szCs w:val="24"/>
        </w:rPr>
      </w:pPr>
      <w:r>
        <w:rPr>
          <w:rFonts w:hint="eastAsia" w:ascii="楷体" w:hAnsi="楷体" w:eastAsia="楷体" w:cs="楷体"/>
          <w:sz w:val="24"/>
          <w:szCs w:val="24"/>
        </w:rPr>
        <w:t>2.“归类赋值”指根据确定的类别进行赋值，如“高、中、低”三个等级，选取其中一个等级赋值。“逐项赋值”指对“子指标层”的每一项指标进行赋值。</w:t>
      </w:r>
    </w:p>
    <w:p>
      <w:pPr>
        <w:pStyle w:val="2"/>
        <w:keepNext w:val="0"/>
        <w:keepLines w:val="0"/>
        <w:widowControl/>
        <w:suppressLineNumbers w:val="0"/>
        <w:ind w:left="0" w:firstLine="420"/>
        <w:rPr>
          <w:sz w:val="24"/>
          <w:szCs w:val="24"/>
        </w:rPr>
      </w:pPr>
      <w:r>
        <w:rPr>
          <w:rFonts w:hint="eastAsia" w:ascii="楷体" w:hAnsi="楷体" w:eastAsia="楷体" w:cs="楷体"/>
          <w:sz w:val="24"/>
          <w:szCs w:val="24"/>
        </w:rPr>
        <w:t>3.风险评估中，对于“拟引进种类携带有害生物风险（P2）”中P21、P22和P23值的判断，风险评估专家应当根据拟引进种子、苗木可携带有害生物情况，采取定性或定量的方法，对这些有害生物的风险程度单独进行评估，经评估后给出P21、P22和P23的值。</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二、境外林草引种风险评估量化计算公式</w:t>
      </w:r>
    </w:p>
    <w:p>
      <w:pPr>
        <w:pStyle w:val="2"/>
        <w:keepNext w:val="0"/>
        <w:keepLines w:val="0"/>
        <w:widowControl/>
        <w:suppressLineNumbers w:val="0"/>
        <w:ind w:left="0" w:firstLine="420"/>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6638925" cy="45053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638925" cy="4505325"/>
                    </a:xfrm>
                    <a:prstGeom prst="rect">
                      <a:avLst/>
                    </a:prstGeom>
                    <a:noFill/>
                    <a:ln w="9525">
                      <a:noFill/>
                    </a:ln>
                  </pic:spPr>
                </pic:pic>
              </a:graphicData>
            </a:graphic>
          </wp:inline>
        </w:drawing>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b/>
          <w:sz w:val="24"/>
          <w:szCs w:val="24"/>
        </w:rPr>
        <w:t>附3</w:t>
      </w:r>
    </w:p>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b/>
          <w:sz w:val="24"/>
          <w:szCs w:val="24"/>
        </w:rPr>
        <w:t>境外林草引种风险评估报告格式</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1 摘要</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2 背景</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需准确说明境外林草引种检疫审批申请人的申请情况，包括申请评估单位名称、联系人及方式，拟评估植物的中文名与拉丁学名、引进数量、引种地、输出国、引进类型、引进用途、入境口岸等情况。</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3 预评估</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在广泛收集相关信息、资料和数据基础上，分析确定评估对象是否符合风险评估条件。</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4 风险评估</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4.1定性分析</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4.1.1拟引进种类成为有害植物的风险分析</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4.1.2拟引进种类携带有害生物的风险分析</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根据收集和掌握拟引进种子、苗木可携带有害生物的情况，采取定性或定量的方法，对有害生物的风险程度单独进行评估，为“拟引进种类携带有害生物风险（P2）”中P21、P22和P23的赋值提供依据。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4.1.3拟引进种类引进状况的风险分析</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4.1.4检疫管理状况风险分析</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4.2定量分析</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根据境外林草引种风险评估指标体系表，进行量化赋分，并计算出林草引种风险评估值（R），评定出风险等级。</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5 结论与建议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提出明确的风险评估结果及管理措施建议。</w:t>
      </w:r>
    </w:p>
    <w:p>
      <w:pPr>
        <w:pStyle w:val="2"/>
        <w:keepNext w:val="0"/>
        <w:keepLines w:val="0"/>
        <w:widowControl/>
        <w:suppressLineNumbers w:val="0"/>
        <w:ind w:left="0" w:firstLine="420"/>
        <w:rPr>
          <w:rFonts w:hint="eastAsia" w:ascii="宋体" w:hAnsi="宋体" w:eastAsia="宋体" w:cs="宋体"/>
          <w:sz w:val="24"/>
          <w:szCs w:val="24"/>
        </w:rPr>
      </w:pPr>
      <w:r>
        <w:rPr>
          <w:rFonts w:hint="eastAsia" w:ascii="宋体" w:hAnsi="宋体" w:eastAsia="宋体" w:cs="宋体"/>
          <w:sz w:val="24"/>
          <w:szCs w:val="24"/>
        </w:rPr>
        <w:t>6 参考文献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252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2019-12-26T01:36:42Z</dcterms:created>
  <dc:creator>yangjia</dc:creator>
  <cp:lastModifiedBy>Yang J</cp:lastModifiedBy>
  <dcterms:modified xsi:type="dcterms:W3CDTF">2019-12-26T01:37:10Z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